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6C553" w14:textId="0F5111D6" w:rsidR="00203513" w:rsidRPr="00E96C2A" w:rsidRDefault="00203513" w:rsidP="00F353D9">
      <w:pPr>
        <w:spacing w:line="240" w:lineRule="auto"/>
        <w:rPr>
          <w:rFonts w:ascii="Times New Roman" w:hAnsi="Times New Roman" w:cs="Times New Roman"/>
          <w:b/>
          <w:bCs/>
          <w:sz w:val="24"/>
          <w:szCs w:val="24"/>
        </w:rPr>
      </w:pPr>
      <w:r w:rsidRPr="00E96C2A">
        <w:rPr>
          <w:rFonts w:ascii="Times New Roman" w:hAnsi="Times New Roman" w:cs="Times New Roman"/>
          <w:b/>
          <w:bCs/>
          <w:sz w:val="24"/>
          <w:szCs w:val="24"/>
        </w:rPr>
        <w:t>FY2</w:t>
      </w:r>
      <w:r w:rsidR="00817AA2" w:rsidRPr="00E96C2A">
        <w:rPr>
          <w:rFonts w:ascii="Times New Roman" w:hAnsi="Times New Roman" w:cs="Times New Roman"/>
          <w:b/>
          <w:bCs/>
          <w:sz w:val="24"/>
          <w:szCs w:val="24"/>
        </w:rPr>
        <w:t>3</w:t>
      </w:r>
      <w:r w:rsidRPr="00E96C2A">
        <w:rPr>
          <w:rFonts w:ascii="Times New Roman" w:hAnsi="Times New Roman" w:cs="Times New Roman"/>
          <w:b/>
          <w:bCs/>
          <w:sz w:val="24"/>
          <w:szCs w:val="24"/>
        </w:rPr>
        <w:t xml:space="preserve"> EPA </w:t>
      </w:r>
      <w:r w:rsidR="00817AA2" w:rsidRPr="00E96C2A">
        <w:rPr>
          <w:rFonts w:ascii="Times New Roman" w:hAnsi="Times New Roman" w:cs="Times New Roman"/>
          <w:b/>
          <w:bCs/>
          <w:sz w:val="24"/>
          <w:szCs w:val="24"/>
        </w:rPr>
        <w:t>Brownfields Multipurpose</w:t>
      </w:r>
      <w:r w:rsidRPr="00E96C2A">
        <w:rPr>
          <w:rFonts w:ascii="Times New Roman" w:hAnsi="Times New Roman" w:cs="Times New Roman"/>
          <w:b/>
          <w:bCs/>
          <w:sz w:val="24"/>
          <w:szCs w:val="24"/>
        </w:rPr>
        <w:t xml:space="preserve"> Application</w:t>
      </w:r>
    </w:p>
    <w:p w14:paraId="0E035DB5" w14:textId="77777777" w:rsidR="00203513" w:rsidRPr="00E96C2A" w:rsidRDefault="005E5413" w:rsidP="00F353D9">
      <w:pPr>
        <w:spacing w:line="240" w:lineRule="auto"/>
        <w:rPr>
          <w:rFonts w:ascii="Times New Roman" w:hAnsi="Times New Roman" w:cs="Times New Roman"/>
          <w:b/>
          <w:bCs/>
          <w:sz w:val="24"/>
          <w:szCs w:val="24"/>
        </w:rPr>
      </w:pPr>
      <w:r w:rsidRPr="00E96C2A">
        <w:rPr>
          <w:rFonts w:ascii="Times New Roman" w:hAnsi="Times New Roman" w:cs="Times New Roman"/>
          <w:b/>
          <w:bCs/>
          <w:sz w:val="24"/>
          <w:szCs w:val="24"/>
        </w:rPr>
        <w:t>T</w:t>
      </w:r>
      <w:r w:rsidR="00203513" w:rsidRPr="00E96C2A">
        <w:rPr>
          <w:rFonts w:ascii="Times New Roman" w:hAnsi="Times New Roman" w:cs="Times New Roman"/>
          <w:b/>
          <w:bCs/>
          <w:sz w:val="24"/>
          <w:szCs w:val="24"/>
        </w:rPr>
        <w:t>hreshold Criteria</w:t>
      </w:r>
    </w:p>
    <w:p w14:paraId="3D80977E" w14:textId="6EC1B3E5" w:rsidR="00B73CDF" w:rsidRPr="00E96C2A" w:rsidRDefault="00B73CDF" w:rsidP="00F353D9">
      <w:pPr>
        <w:pStyle w:val="Default"/>
        <w:numPr>
          <w:ilvl w:val="0"/>
          <w:numId w:val="1"/>
        </w:numPr>
      </w:pPr>
      <w:r w:rsidRPr="00E96C2A">
        <w:rPr>
          <w:b/>
          <w:bCs/>
        </w:rPr>
        <w:t xml:space="preserve">Applicant Eligibility </w:t>
      </w:r>
    </w:p>
    <w:p w14:paraId="45360844" w14:textId="77777777" w:rsidR="005A1FA5" w:rsidRPr="005A1FA5" w:rsidRDefault="005A1FA5" w:rsidP="005A1FA5">
      <w:pPr>
        <w:pStyle w:val="Default"/>
        <w:rPr>
          <w:color w:val="70AD47" w:themeColor="accent6"/>
        </w:rPr>
      </w:pPr>
      <w:r w:rsidRPr="005A1FA5">
        <w:rPr>
          <w:color w:val="70AD47" w:themeColor="accent6"/>
        </w:rPr>
        <w:t xml:space="preserve">a. From the list of eligible entities in Section III.A., Who Can </w:t>
      </w:r>
      <w:proofErr w:type="gramStart"/>
      <w:r w:rsidRPr="005A1FA5">
        <w:rPr>
          <w:color w:val="70AD47" w:themeColor="accent6"/>
        </w:rPr>
        <w:t>Apply?,</w:t>
      </w:r>
      <w:proofErr w:type="gramEnd"/>
      <w:r w:rsidRPr="005A1FA5">
        <w:rPr>
          <w:color w:val="70AD47" w:themeColor="accent6"/>
        </w:rPr>
        <w:t xml:space="preserve"> indicate your applicant type and provide information that demonstrates how you are an eligible entity for a Multipurpose Grant.</w:t>
      </w:r>
    </w:p>
    <w:p w14:paraId="44E7FB29" w14:textId="608B44A0" w:rsidR="005A1FA5" w:rsidRPr="005A1FA5" w:rsidRDefault="005A1FA5" w:rsidP="005A1FA5">
      <w:pPr>
        <w:pStyle w:val="Default"/>
        <w:numPr>
          <w:ilvl w:val="0"/>
          <w:numId w:val="24"/>
        </w:numPr>
        <w:rPr>
          <w:color w:val="70AD47" w:themeColor="accent6"/>
        </w:rPr>
      </w:pPr>
      <w:r w:rsidRPr="005A1FA5">
        <w:rPr>
          <w:color w:val="70AD47" w:themeColor="accent6"/>
        </w:rPr>
        <w:t>For entities that are cities, counties, Tribes, or states, affirm that the organization is eligible for funding.</w:t>
      </w:r>
    </w:p>
    <w:p w14:paraId="129B214C" w14:textId="510CE13E" w:rsidR="005A1FA5" w:rsidRPr="005A1FA5" w:rsidRDefault="005A1FA5" w:rsidP="005A1FA5">
      <w:pPr>
        <w:pStyle w:val="Default"/>
        <w:numPr>
          <w:ilvl w:val="0"/>
          <w:numId w:val="24"/>
        </w:numPr>
        <w:rPr>
          <w:color w:val="70AD47" w:themeColor="accent6"/>
        </w:rPr>
      </w:pPr>
      <w:r w:rsidRPr="005A1FA5">
        <w:rPr>
          <w:color w:val="70AD47" w:themeColor="accent6"/>
        </w:rPr>
        <w:t>For government entities other than cities, counties, Tribes, or states, attach documentation of your eligibility (e.g., resolutions, statutes, etc.).</w:t>
      </w:r>
    </w:p>
    <w:p w14:paraId="64592C6F" w14:textId="7629DAB1" w:rsidR="005A1FA5" w:rsidRPr="005A1FA5" w:rsidRDefault="005A1FA5" w:rsidP="005A1FA5">
      <w:pPr>
        <w:pStyle w:val="Default"/>
        <w:numPr>
          <w:ilvl w:val="0"/>
          <w:numId w:val="24"/>
        </w:numPr>
        <w:rPr>
          <w:color w:val="70AD47" w:themeColor="accent6"/>
        </w:rPr>
      </w:pPr>
      <w:r w:rsidRPr="005A1FA5">
        <w:rPr>
          <w:color w:val="70AD47" w:themeColor="accent6"/>
        </w:rPr>
        <w:t>For Intertribal consortia, attach documentation that meets the requirements in 40 CFR 35.504(a) and (c). All members of the Intertribal consortium must authorize the submission of an application.</w:t>
      </w:r>
    </w:p>
    <w:p w14:paraId="4C0A97A2" w14:textId="3EB7A9F8" w:rsidR="005A1FA5" w:rsidRPr="005A1FA5" w:rsidRDefault="005A1FA5" w:rsidP="005A1FA5">
      <w:pPr>
        <w:pStyle w:val="Default"/>
        <w:numPr>
          <w:ilvl w:val="0"/>
          <w:numId w:val="24"/>
        </w:numPr>
        <w:rPr>
          <w:color w:val="70AD47" w:themeColor="accent6"/>
        </w:rPr>
      </w:pPr>
      <w:r w:rsidRPr="005A1FA5">
        <w:rPr>
          <w:color w:val="70AD47" w:themeColor="accent6"/>
        </w:rPr>
        <w:t>For nonprofit organizations, or organizations comprised of nonprofit organizations, provide documentation as an attachment to the Narrative demonstrating tax-exempt status under section 501(c)(3) of the Internal Revenue Code.</w:t>
      </w:r>
    </w:p>
    <w:p w14:paraId="4D67FE9D" w14:textId="270057B3" w:rsidR="005A1FA5" w:rsidRPr="005A1FA5" w:rsidRDefault="005A1FA5" w:rsidP="005A1FA5">
      <w:pPr>
        <w:pStyle w:val="Default"/>
        <w:numPr>
          <w:ilvl w:val="0"/>
          <w:numId w:val="24"/>
        </w:numPr>
        <w:rPr>
          <w:color w:val="70AD47" w:themeColor="accent6"/>
        </w:rPr>
      </w:pPr>
      <w:r w:rsidRPr="005A1FA5">
        <w:rPr>
          <w:color w:val="70AD47" w:themeColor="accent6"/>
        </w:rPr>
        <w:t>For qualified community development entities, provide documentation as an attachment to the Narrative certifying the organization’s status.</w:t>
      </w:r>
    </w:p>
    <w:p w14:paraId="299FA1EE" w14:textId="77777777" w:rsidR="005A1FA5" w:rsidRPr="005A1FA5" w:rsidRDefault="005A1FA5" w:rsidP="005A1FA5">
      <w:pPr>
        <w:pStyle w:val="Default"/>
        <w:rPr>
          <w:color w:val="70AD47" w:themeColor="accent6"/>
        </w:rPr>
      </w:pPr>
      <w:r w:rsidRPr="005A1FA5">
        <w:rPr>
          <w:color w:val="70AD47" w:themeColor="accent6"/>
        </w:rPr>
        <w:t>b. Indicate if your organization is exempt from Federal taxation under section 501(c)(4) of the Internal Revenue Code.</w:t>
      </w:r>
    </w:p>
    <w:p w14:paraId="6C13F994" w14:textId="5FD41691" w:rsidR="005A1FA5" w:rsidRPr="005A1FA5" w:rsidRDefault="005A1FA5" w:rsidP="005A1FA5">
      <w:pPr>
        <w:pStyle w:val="Default"/>
        <w:numPr>
          <w:ilvl w:val="0"/>
          <w:numId w:val="24"/>
        </w:numPr>
        <w:rPr>
          <w:color w:val="70AD47" w:themeColor="accent6"/>
        </w:rPr>
      </w:pPr>
      <w:r w:rsidRPr="005A1FA5">
        <w:rPr>
          <w:color w:val="70AD47" w:themeColor="accent6"/>
        </w:rPr>
        <w:t>If yes, indicate if your organization lobbies the Federal government.</w:t>
      </w:r>
    </w:p>
    <w:p w14:paraId="1B8DCA5D" w14:textId="6672AE29" w:rsidR="00B73CDF" w:rsidRPr="005A1FA5" w:rsidRDefault="005A1FA5" w:rsidP="005A1FA5">
      <w:pPr>
        <w:pStyle w:val="Default"/>
        <w:numPr>
          <w:ilvl w:val="0"/>
          <w:numId w:val="24"/>
        </w:numPr>
      </w:pPr>
      <w:r w:rsidRPr="005A1FA5">
        <w:rPr>
          <w:color w:val="70AD47" w:themeColor="accent6"/>
        </w:rPr>
        <w:t>If yes, but your organization does not lobby the Federal government, attach a legal opinion that states that the organization does not engage in lobbying activities.</w:t>
      </w:r>
    </w:p>
    <w:p w14:paraId="33EFAC2C" w14:textId="77777777" w:rsidR="005A1FA5" w:rsidRPr="00E96C2A" w:rsidRDefault="005A1FA5" w:rsidP="005A1FA5">
      <w:pPr>
        <w:pStyle w:val="Default"/>
        <w:ind w:left="720"/>
      </w:pPr>
    </w:p>
    <w:p w14:paraId="67177F71" w14:textId="77777777" w:rsidR="00AE3168" w:rsidRPr="00E96C2A" w:rsidRDefault="00AE3168" w:rsidP="00AE3168">
      <w:pPr>
        <w:pStyle w:val="Default"/>
        <w:numPr>
          <w:ilvl w:val="0"/>
          <w:numId w:val="1"/>
        </w:numPr>
      </w:pPr>
      <w:r w:rsidRPr="00E96C2A">
        <w:rPr>
          <w:b/>
          <w:bCs/>
        </w:rPr>
        <w:t>Community Involvement</w:t>
      </w:r>
    </w:p>
    <w:p w14:paraId="6C9E972D" w14:textId="6F25161F" w:rsidR="003F4BC4" w:rsidRPr="00DD04D8" w:rsidRDefault="00AE3168" w:rsidP="00AE3168">
      <w:pPr>
        <w:pStyle w:val="Default"/>
        <w:rPr>
          <w:color w:val="70AD47" w:themeColor="accent6"/>
        </w:rPr>
      </w:pPr>
      <w:r w:rsidRPr="00DD04D8">
        <w:rPr>
          <w:color w:val="70AD47" w:themeColor="accent6"/>
        </w:rPr>
        <w:t>Provide information that demonstrates how you intend to inform and involve the community and other stakeholders in the planning, implementation, and other brownfield activities described in your application.</w:t>
      </w:r>
    </w:p>
    <w:p w14:paraId="7CCEA14A" w14:textId="3FAEF2FA" w:rsidR="00AE3168" w:rsidRPr="00E96C2A" w:rsidRDefault="00AE3168" w:rsidP="00AE3168">
      <w:pPr>
        <w:pStyle w:val="Default"/>
      </w:pPr>
    </w:p>
    <w:p w14:paraId="35AC36C4" w14:textId="2FAD5AA4" w:rsidR="00AE3168" w:rsidRPr="00E96C2A" w:rsidRDefault="00AE3168" w:rsidP="00AE3168">
      <w:pPr>
        <w:pStyle w:val="Default"/>
        <w:numPr>
          <w:ilvl w:val="0"/>
          <w:numId w:val="1"/>
        </w:numPr>
        <w:rPr>
          <w:b/>
          <w:bCs/>
        </w:rPr>
      </w:pPr>
      <w:r w:rsidRPr="00E96C2A">
        <w:rPr>
          <w:b/>
          <w:bCs/>
        </w:rPr>
        <w:t>Target Area</w:t>
      </w:r>
    </w:p>
    <w:p w14:paraId="287B17B4" w14:textId="55382951" w:rsidR="00AE3168" w:rsidRPr="001C2393" w:rsidRDefault="00AE3168" w:rsidP="00AE3168">
      <w:pPr>
        <w:pStyle w:val="Default"/>
        <w:rPr>
          <w:color w:val="70AD47" w:themeColor="accent6"/>
        </w:rPr>
      </w:pPr>
      <w:r w:rsidRPr="001C2393">
        <w:rPr>
          <w:color w:val="70AD47" w:themeColor="accent6"/>
        </w:rPr>
        <w:t xml:space="preserve">Identify one target area where you propose to conduct eligible activities, such as a neighborhood, </w:t>
      </w:r>
      <w:proofErr w:type="gramStart"/>
      <w:r w:rsidRPr="001C2393">
        <w:rPr>
          <w:color w:val="70AD47" w:themeColor="accent6"/>
        </w:rPr>
        <w:t>a number of</w:t>
      </w:r>
      <w:proofErr w:type="gramEnd"/>
      <w:r w:rsidRPr="001C2393">
        <w:rPr>
          <w:color w:val="70AD47" w:themeColor="accent6"/>
        </w:rPr>
        <w:t xml:space="preserve"> neighboring towns, a district, a corridor, a shared planning area, or a census tract. The target area may not include communities that </w:t>
      </w:r>
      <w:proofErr w:type="gramStart"/>
      <w:r w:rsidRPr="001C2393">
        <w:rPr>
          <w:color w:val="70AD47" w:themeColor="accent6"/>
        </w:rPr>
        <w:t>are located in</w:t>
      </w:r>
      <w:proofErr w:type="gramEnd"/>
      <w:r w:rsidRPr="001C2393">
        <w:rPr>
          <w:color w:val="70AD47" w:themeColor="accent6"/>
        </w:rPr>
        <w:t xml:space="preserve"> distinctly different geographic areas.</w:t>
      </w:r>
    </w:p>
    <w:p w14:paraId="037463CC" w14:textId="23254A13" w:rsidR="00AE3168" w:rsidRPr="00E96C2A" w:rsidRDefault="00AE3168" w:rsidP="00AE3168">
      <w:pPr>
        <w:pStyle w:val="Default"/>
        <w:rPr>
          <w:color w:val="00B050"/>
        </w:rPr>
      </w:pPr>
    </w:p>
    <w:p w14:paraId="1B1A84DF" w14:textId="37FE7EB5" w:rsidR="003F4BC4" w:rsidRPr="00E96C2A" w:rsidRDefault="00815275" w:rsidP="00F353D9">
      <w:pPr>
        <w:pStyle w:val="Default"/>
        <w:numPr>
          <w:ilvl w:val="0"/>
          <w:numId w:val="1"/>
        </w:numPr>
        <w:rPr>
          <w:b/>
          <w:bCs/>
        </w:rPr>
      </w:pPr>
      <w:r w:rsidRPr="00E96C2A">
        <w:rPr>
          <w:b/>
          <w:bCs/>
        </w:rPr>
        <w:t xml:space="preserve">Affirmation of Brownfield </w:t>
      </w:r>
      <w:r w:rsidR="003F4BC4" w:rsidRPr="00E96C2A">
        <w:rPr>
          <w:b/>
          <w:bCs/>
        </w:rPr>
        <w:t xml:space="preserve">Site Ownership </w:t>
      </w:r>
    </w:p>
    <w:p w14:paraId="7E327B4A" w14:textId="77777777" w:rsidR="005A1FA5" w:rsidRPr="005A1FA5" w:rsidRDefault="005A1FA5" w:rsidP="005A1FA5">
      <w:pPr>
        <w:pStyle w:val="Default"/>
        <w:rPr>
          <w:color w:val="70AD47" w:themeColor="accent6"/>
        </w:rPr>
      </w:pPr>
      <w:r w:rsidRPr="005A1FA5">
        <w:rPr>
          <w:color w:val="70AD47" w:themeColor="accent6"/>
        </w:rPr>
        <w:t>To be eligible for Multipurpose Grant funding, an applicant must own a site(s) that meets the CERCLA § 101(39) definition of a brownfield. An applicant must own a brownfield site(s) within their target area where cleanup activities may be conducted by NOVEMBER 13, 2023.</w:t>
      </w:r>
    </w:p>
    <w:p w14:paraId="71B0B11A" w14:textId="77777777" w:rsidR="005A1FA5" w:rsidRPr="005A1FA5" w:rsidRDefault="005A1FA5" w:rsidP="005A1FA5">
      <w:pPr>
        <w:pStyle w:val="Default"/>
        <w:rPr>
          <w:color w:val="70AD47" w:themeColor="accent6"/>
        </w:rPr>
      </w:pPr>
      <w:r w:rsidRPr="005A1FA5">
        <w:rPr>
          <w:color w:val="70AD47" w:themeColor="accent6"/>
        </w:rPr>
        <w:t>Entities liable for contamination on the site are not eligible for Brownfields Grant funding. Site eligibility related to liability is determined differently at sites contaminated with</w:t>
      </w:r>
    </w:p>
    <w:p w14:paraId="22872FF4" w14:textId="77777777" w:rsidR="005A1FA5" w:rsidRPr="005A1FA5" w:rsidRDefault="005A1FA5" w:rsidP="005A1FA5">
      <w:pPr>
        <w:pStyle w:val="Default"/>
        <w:rPr>
          <w:color w:val="70AD47" w:themeColor="accent6"/>
        </w:rPr>
      </w:pPr>
      <w:r w:rsidRPr="005A1FA5">
        <w:rPr>
          <w:color w:val="70AD47" w:themeColor="accent6"/>
        </w:rPr>
        <w:t>18</w:t>
      </w:r>
    </w:p>
    <w:p w14:paraId="374760B5" w14:textId="77777777" w:rsidR="005A1FA5" w:rsidRPr="005A1FA5" w:rsidRDefault="005A1FA5" w:rsidP="005A1FA5">
      <w:pPr>
        <w:pStyle w:val="Default"/>
        <w:rPr>
          <w:color w:val="70AD47" w:themeColor="accent6"/>
        </w:rPr>
      </w:pPr>
      <w:r w:rsidRPr="005A1FA5">
        <w:rPr>
          <w:color w:val="70AD47" w:themeColor="accent6"/>
        </w:rPr>
        <w:t xml:space="preserve">hazardous substances than at sites contaminated by petroleum or petroleum </w:t>
      </w:r>
      <w:proofErr w:type="gramStart"/>
      <w:r w:rsidRPr="005A1FA5">
        <w:rPr>
          <w:color w:val="70AD47" w:themeColor="accent6"/>
        </w:rPr>
        <w:t>product</w:t>
      </w:r>
      <w:proofErr w:type="gramEnd"/>
      <w:r w:rsidRPr="005A1FA5">
        <w:rPr>
          <w:color w:val="70AD47" w:themeColor="accent6"/>
        </w:rPr>
        <w:t>. EPA will determine eligibility for site-specific assessment and cleanup activities after the award of the grant throughout the project period.</w:t>
      </w:r>
    </w:p>
    <w:p w14:paraId="7542448B" w14:textId="4855DB04" w:rsidR="00AE3168" w:rsidRDefault="005A1FA5" w:rsidP="005A1FA5">
      <w:pPr>
        <w:pStyle w:val="Default"/>
        <w:rPr>
          <w:color w:val="70AD47" w:themeColor="accent6"/>
        </w:rPr>
      </w:pPr>
      <w:r w:rsidRPr="005A1FA5">
        <w:rPr>
          <w:color w:val="70AD47" w:themeColor="accent6"/>
        </w:rPr>
        <w:lastRenderedPageBreak/>
        <w:t>Affirm that you own a site that meets the CERCLA § 101(39) definition of a brownfield and is: a) not listed (or proposed for listing) on the National Priorities List; b) not subject to unilateral administrative orders, court orders, administrative orders on consent, or judicial consent decrees issued to or entered into by parties under CERCLA; and c) not subject to the jurisdiction, custody, or control of the U.S. government. (Note: Land held in trust by the U.S. government for an Indian Tribe is eligible for funding.) For more information on sites eligible for Brownfields Grant funding, please see the Information on Sites Eligible for Brownfields Funding under CERCLA § 104(k)</w:t>
      </w:r>
      <w:proofErr w:type="gramStart"/>
      <w:r w:rsidRPr="005A1FA5">
        <w:rPr>
          <w:color w:val="70AD47" w:themeColor="accent6"/>
        </w:rPr>
        <w:t>.15</w:t>
      </w:r>
      <w:proofErr w:type="gramEnd"/>
    </w:p>
    <w:p w14:paraId="02837925" w14:textId="77777777" w:rsidR="005A1FA5" w:rsidRPr="00E96C2A" w:rsidRDefault="005A1FA5" w:rsidP="005A1FA5">
      <w:pPr>
        <w:pStyle w:val="Default"/>
        <w:rPr>
          <w:color w:val="00B050"/>
        </w:rPr>
      </w:pPr>
    </w:p>
    <w:p w14:paraId="63E0BBE5" w14:textId="0CAEF553" w:rsidR="003E51F4" w:rsidRPr="00E96C2A" w:rsidRDefault="003E51F4" w:rsidP="003E51F4">
      <w:pPr>
        <w:pStyle w:val="Default"/>
        <w:numPr>
          <w:ilvl w:val="0"/>
          <w:numId w:val="1"/>
        </w:numPr>
      </w:pPr>
      <w:r w:rsidRPr="00E96C2A">
        <w:rPr>
          <w:b/>
          <w:bCs/>
        </w:rPr>
        <w:t xml:space="preserve">Use of Grant Funds </w:t>
      </w:r>
    </w:p>
    <w:p w14:paraId="6DED967C" w14:textId="77777777" w:rsidR="005A1FA5" w:rsidRPr="005A1FA5" w:rsidRDefault="005A1FA5" w:rsidP="005A1FA5">
      <w:pPr>
        <w:pStyle w:val="Default"/>
        <w:rPr>
          <w:color w:val="70AD47" w:themeColor="accent6"/>
        </w:rPr>
      </w:pPr>
      <w:r w:rsidRPr="005A1FA5">
        <w:rPr>
          <w:color w:val="70AD47" w:themeColor="accent6"/>
        </w:rPr>
        <w:t>Multipurpose Grant recipients will be required to, at a minimum, conduct one Phase II environmental site assessment and remediate one site. Additionally, Multipurpose Grant recipients will be required to develop an overall plan for revitalization of the target area (if a plan does not already exist) and the plan must include a feasible reuse strategy for at least one priority site.</w:t>
      </w:r>
    </w:p>
    <w:p w14:paraId="4EB2F667" w14:textId="77777777" w:rsidR="005A1FA5" w:rsidRPr="005A1FA5" w:rsidRDefault="005A1FA5" w:rsidP="005A1FA5">
      <w:pPr>
        <w:pStyle w:val="Default"/>
        <w:rPr>
          <w:color w:val="70AD47" w:themeColor="accent6"/>
        </w:rPr>
      </w:pPr>
      <w:r w:rsidRPr="005A1FA5">
        <w:rPr>
          <w:color w:val="70AD47" w:themeColor="accent6"/>
        </w:rPr>
        <w:t>Indicate the page number where there is information on your plan to:</w:t>
      </w:r>
    </w:p>
    <w:p w14:paraId="42A3A1DD" w14:textId="6753B235" w:rsidR="005A1FA5" w:rsidRPr="005A1FA5" w:rsidRDefault="005A1FA5" w:rsidP="005A1FA5">
      <w:pPr>
        <w:pStyle w:val="Default"/>
        <w:numPr>
          <w:ilvl w:val="0"/>
          <w:numId w:val="24"/>
        </w:numPr>
        <w:rPr>
          <w:color w:val="70AD47" w:themeColor="accent6"/>
        </w:rPr>
      </w:pPr>
      <w:r w:rsidRPr="005A1FA5">
        <w:rPr>
          <w:color w:val="70AD47" w:themeColor="accent6"/>
        </w:rPr>
        <w:t>Complete at least one Phase II environmental site assessment.</w:t>
      </w:r>
    </w:p>
    <w:p w14:paraId="1A8569F6" w14:textId="10E89C8C" w:rsidR="005A1FA5" w:rsidRPr="005A1FA5" w:rsidRDefault="005A1FA5" w:rsidP="005A1FA5">
      <w:pPr>
        <w:pStyle w:val="Default"/>
        <w:numPr>
          <w:ilvl w:val="0"/>
          <w:numId w:val="24"/>
        </w:numPr>
        <w:rPr>
          <w:color w:val="70AD47" w:themeColor="accent6"/>
        </w:rPr>
      </w:pPr>
      <w:r w:rsidRPr="005A1FA5">
        <w:rPr>
          <w:color w:val="70AD47" w:themeColor="accent6"/>
        </w:rPr>
        <w:t>Remediate at least one site.</w:t>
      </w:r>
    </w:p>
    <w:p w14:paraId="0B3ED192" w14:textId="46CA5743" w:rsidR="005A1FA5" w:rsidRPr="005A1FA5" w:rsidRDefault="005A1FA5" w:rsidP="005A1FA5">
      <w:pPr>
        <w:pStyle w:val="Default"/>
        <w:numPr>
          <w:ilvl w:val="0"/>
          <w:numId w:val="24"/>
        </w:numPr>
        <w:rPr>
          <w:color w:val="70AD47" w:themeColor="accent6"/>
        </w:rPr>
      </w:pPr>
      <w:r w:rsidRPr="005A1FA5">
        <w:rPr>
          <w:color w:val="70AD47" w:themeColor="accent6"/>
        </w:rPr>
        <w:t>Develop an overall plan for revitalization of the target area that includes a feasible reuse strategy for at least one priority site. If an overall plan for revitalization of the target area that includes a feasible reuse strategy for at least one priority site already exists, please state this in your response.</w:t>
      </w:r>
    </w:p>
    <w:p w14:paraId="146400E7" w14:textId="03FA814B" w:rsidR="00817AA2" w:rsidRDefault="005A1FA5" w:rsidP="005A1FA5">
      <w:pPr>
        <w:pStyle w:val="Default"/>
        <w:rPr>
          <w:color w:val="70AD47" w:themeColor="accent6"/>
        </w:rPr>
      </w:pPr>
      <w:r w:rsidRPr="005A1FA5">
        <w:rPr>
          <w:color w:val="70AD47" w:themeColor="accent6"/>
        </w:rPr>
        <w:t>Note, information that is referenced can be in the written narrative or the budget table.</w:t>
      </w:r>
    </w:p>
    <w:p w14:paraId="3A4A02E1" w14:textId="77777777" w:rsidR="005A1FA5" w:rsidRPr="00E96C2A" w:rsidRDefault="005A1FA5" w:rsidP="005A1FA5">
      <w:pPr>
        <w:pStyle w:val="Default"/>
        <w:rPr>
          <w:color w:val="70AD47" w:themeColor="accent6"/>
        </w:rPr>
      </w:pPr>
    </w:p>
    <w:p w14:paraId="2D7FEF91" w14:textId="203BB68E" w:rsidR="00817AA2" w:rsidRPr="00E96C2A" w:rsidRDefault="00817AA2" w:rsidP="00817AA2">
      <w:pPr>
        <w:pStyle w:val="Default"/>
        <w:numPr>
          <w:ilvl w:val="0"/>
          <w:numId w:val="1"/>
        </w:numPr>
        <w:rPr>
          <w:b/>
          <w:bCs/>
        </w:rPr>
      </w:pPr>
      <w:r w:rsidRPr="00E96C2A">
        <w:rPr>
          <w:b/>
          <w:bCs/>
        </w:rPr>
        <w:t>Expenditure of Existing Grant Funds</w:t>
      </w:r>
    </w:p>
    <w:p w14:paraId="07B365D2" w14:textId="7378DD61" w:rsidR="00817AA2" w:rsidRDefault="00817AA2" w:rsidP="00817AA2">
      <w:pPr>
        <w:pStyle w:val="Default"/>
        <w:rPr>
          <w:color w:val="70AD47" w:themeColor="accent6"/>
        </w:rPr>
      </w:pPr>
    </w:p>
    <w:p w14:paraId="7ED1D669" w14:textId="531B63DE" w:rsidR="00E96C2A" w:rsidRDefault="00E96C2A" w:rsidP="00817AA2">
      <w:pPr>
        <w:pStyle w:val="Default"/>
        <w:rPr>
          <w:color w:val="70AD47" w:themeColor="accent6"/>
        </w:rPr>
      </w:pPr>
    </w:p>
    <w:p w14:paraId="73C24EF7" w14:textId="7932B8E6" w:rsidR="005A1FA5" w:rsidRDefault="005A1FA5" w:rsidP="005A1FA5">
      <w:pPr>
        <w:pStyle w:val="Default"/>
        <w:rPr>
          <w:color w:val="70AD47" w:themeColor="accent6"/>
        </w:rPr>
      </w:pPr>
      <w:r>
        <w:rPr>
          <w:color w:val="70AD47" w:themeColor="accent6"/>
        </w:rPr>
        <w:t>C</w:t>
      </w:r>
      <w:r w:rsidRPr="005A1FA5">
        <w:rPr>
          <w:color w:val="70AD47" w:themeColor="accent6"/>
        </w:rPr>
        <w:t xml:space="preserve">urrent EPA Brownfields Multipurpose Grant and Assessment Grant recipients must demonstrate that payment has been received from EPA (also known as ‘drawn down’), and drawn down funds have been disbursed, for at least 70.00% of the funding for each Multipurpose and Assessment cooperative agreement they have with EPA by October 1, 2023, </w:t>
      </w:r>
      <w:proofErr w:type="gramStart"/>
      <w:r w:rsidRPr="005A1FA5">
        <w:rPr>
          <w:color w:val="70AD47" w:themeColor="accent6"/>
        </w:rPr>
        <w:t>in order to</w:t>
      </w:r>
      <w:proofErr w:type="gramEnd"/>
      <w:r w:rsidRPr="005A1FA5">
        <w:rPr>
          <w:color w:val="70AD47" w:themeColor="accent6"/>
        </w:rPr>
        <w:t xml:space="preserve"> apply for Multipurpose Grant funding under this solicitation.</w:t>
      </w:r>
    </w:p>
    <w:p w14:paraId="3077A647" w14:textId="77777777" w:rsidR="005A1FA5" w:rsidRPr="005A1FA5" w:rsidRDefault="005A1FA5" w:rsidP="005A1FA5">
      <w:pPr>
        <w:pStyle w:val="Default"/>
        <w:rPr>
          <w:color w:val="70AD47" w:themeColor="accent6"/>
        </w:rPr>
      </w:pPr>
    </w:p>
    <w:p w14:paraId="0D08C557" w14:textId="77777777" w:rsidR="005A1FA5" w:rsidRDefault="005A1FA5" w:rsidP="005A1FA5">
      <w:pPr>
        <w:pStyle w:val="Default"/>
        <w:rPr>
          <w:color w:val="70AD47" w:themeColor="accent6"/>
        </w:rPr>
      </w:pPr>
      <w:r w:rsidRPr="005A1FA5">
        <w:rPr>
          <w:color w:val="70AD47" w:themeColor="accent6"/>
        </w:rPr>
        <w:t>To demonstrate this, applicants must attach a copy of a financial record displaying the amount of cooperative agreement funds drawn down (e.g., a report from the Automated Standard Application for Payments (ASAP) or general ledger entries). If necessary, applicants may contact the assigned EPA Project Officer for the cooperative agreement(s) or Jerry Minor-Gordon (brownfields@epa.gov) to obtain draw down information from EPA’s grant financial database (Compass Data Warehouse). Disbursements of drawn down funds must comply with requirements in EPA’s General Terms and Conditions for timely</w:t>
      </w:r>
      <w:r>
        <w:rPr>
          <w:color w:val="70AD47" w:themeColor="accent6"/>
        </w:rPr>
        <w:t xml:space="preserve"> </w:t>
      </w:r>
      <w:r w:rsidRPr="005A1FA5">
        <w:rPr>
          <w:color w:val="70AD47" w:themeColor="accent6"/>
        </w:rPr>
        <w:t xml:space="preserve">disbursement of EPA funds (i.e., recipients other than states must substantially disburse </w:t>
      </w:r>
      <w:proofErr w:type="gramStart"/>
      <w:r w:rsidRPr="005A1FA5">
        <w:rPr>
          <w:color w:val="70AD47" w:themeColor="accent6"/>
        </w:rPr>
        <w:t>all of</w:t>
      </w:r>
      <w:proofErr w:type="gramEnd"/>
      <w:r w:rsidRPr="005A1FA5">
        <w:rPr>
          <w:color w:val="70AD47" w:themeColor="accent6"/>
        </w:rPr>
        <w:t xml:space="preserve"> the funds within 5 business days of draw down).</w:t>
      </w:r>
    </w:p>
    <w:p w14:paraId="7583BF3A" w14:textId="77777777" w:rsidR="005A1FA5" w:rsidRPr="005A1FA5" w:rsidRDefault="005A1FA5" w:rsidP="005A1FA5">
      <w:pPr>
        <w:pStyle w:val="Default"/>
        <w:rPr>
          <w:color w:val="70AD47" w:themeColor="accent6"/>
        </w:rPr>
      </w:pPr>
    </w:p>
    <w:p w14:paraId="5CD320E0" w14:textId="24875B32" w:rsidR="00E96C2A" w:rsidRDefault="005A1FA5" w:rsidP="005A1FA5">
      <w:pPr>
        <w:pStyle w:val="Default"/>
        <w:rPr>
          <w:color w:val="70AD47" w:themeColor="accent6"/>
        </w:rPr>
      </w:pPr>
      <w:r w:rsidRPr="005A1FA5">
        <w:rPr>
          <w:color w:val="70AD47" w:themeColor="accent6"/>
        </w:rPr>
        <w:t>Alternatively, the applicant must affirm it does not have an open16 EPA Brownfields Multipurpose Grant or Assessment Grant.</w:t>
      </w:r>
    </w:p>
    <w:p w14:paraId="017F9467" w14:textId="166CEDDD" w:rsidR="00E96C2A" w:rsidRDefault="00E96C2A" w:rsidP="00817AA2">
      <w:pPr>
        <w:pStyle w:val="Default"/>
        <w:rPr>
          <w:color w:val="70AD47" w:themeColor="accent6"/>
        </w:rPr>
      </w:pPr>
    </w:p>
    <w:p w14:paraId="6BEE04D6" w14:textId="253C6B02" w:rsidR="00E96C2A" w:rsidRDefault="00E96C2A" w:rsidP="00817AA2">
      <w:pPr>
        <w:pStyle w:val="Default"/>
        <w:rPr>
          <w:color w:val="70AD47" w:themeColor="accent6"/>
        </w:rPr>
      </w:pPr>
    </w:p>
    <w:p w14:paraId="19E2051E" w14:textId="77777777" w:rsidR="00E96C2A" w:rsidRPr="00E96C2A" w:rsidRDefault="00E96C2A" w:rsidP="00817AA2">
      <w:pPr>
        <w:pStyle w:val="Default"/>
        <w:rPr>
          <w:color w:val="70AD47" w:themeColor="accent6"/>
        </w:rPr>
      </w:pPr>
    </w:p>
    <w:p w14:paraId="5AAF94CB" w14:textId="1CEC05FE" w:rsidR="00817AA2" w:rsidRPr="00E96C2A" w:rsidRDefault="00817AA2" w:rsidP="00E96C2A">
      <w:pPr>
        <w:pStyle w:val="Default"/>
        <w:ind w:left="720"/>
        <w:rPr>
          <w:b/>
          <w:bCs/>
        </w:rPr>
      </w:pPr>
    </w:p>
    <w:p w14:paraId="25AE9760" w14:textId="67692A66" w:rsidR="00817AA2" w:rsidRPr="00E96C2A" w:rsidRDefault="00817AA2" w:rsidP="00817AA2">
      <w:pPr>
        <w:pStyle w:val="Default"/>
        <w:numPr>
          <w:ilvl w:val="0"/>
          <w:numId w:val="1"/>
        </w:numPr>
        <w:rPr>
          <w:b/>
          <w:bCs/>
        </w:rPr>
      </w:pPr>
      <w:r w:rsidRPr="00E96C2A">
        <w:rPr>
          <w:b/>
          <w:bCs/>
        </w:rPr>
        <w:t>Contractors and Named Subrecipients</w:t>
      </w:r>
    </w:p>
    <w:p w14:paraId="488C7FB8" w14:textId="54A6004D" w:rsidR="00817AA2" w:rsidRPr="00E96C2A" w:rsidRDefault="00817AA2" w:rsidP="00E96C2A">
      <w:pPr>
        <w:pStyle w:val="Default"/>
        <w:rPr>
          <w:color w:val="70AD47" w:themeColor="accent6"/>
        </w:rPr>
      </w:pPr>
    </w:p>
    <w:p w14:paraId="7F08E853" w14:textId="2EDCEB65" w:rsidR="00E96C2A" w:rsidRPr="00E96C2A" w:rsidRDefault="00E96C2A" w:rsidP="00E96C2A">
      <w:pPr>
        <w:pStyle w:val="Default"/>
        <w:numPr>
          <w:ilvl w:val="0"/>
          <w:numId w:val="20"/>
        </w:numPr>
      </w:pPr>
      <w:r w:rsidRPr="00E96C2A">
        <w:rPr>
          <w:b/>
          <w:bCs/>
        </w:rPr>
        <w:t>Contractors</w:t>
      </w:r>
    </w:p>
    <w:p w14:paraId="381169B2" w14:textId="77777777" w:rsidR="005A1FA5" w:rsidRPr="005A1FA5" w:rsidRDefault="005A1FA5" w:rsidP="005A1FA5">
      <w:pPr>
        <w:pStyle w:val="Default"/>
        <w:rPr>
          <w:color w:val="70AD47" w:themeColor="accent6"/>
        </w:rPr>
      </w:pPr>
      <w:r w:rsidRPr="005A1FA5">
        <w:rPr>
          <w:color w:val="70AD47" w:themeColor="accent6"/>
        </w:rPr>
        <w:t>EPA does not require or encourage applicants to procure contractors (including consultants) before the EPA cooperative agreement is awarded, but applicants may choose to do so.</w:t>
      </w:r>
    </w:p>
    <w:p w14:paraId="0F10AB0F" w14:textId="77777777" w:rsidR="005A1FA5" w:rsidRPr="005A1FA5" w:rsidRDefault="005A1FA5" w:rsidP="005A1FA5">
      <w:pPr>
        <w:pStyle w:val="Default"/>
        <w:rPr>
          <w:color w:val="70AD47" w:themeColor="accent6"/>
        </w:rPr>
      </w:pPr>
      <w:r w:rsidRPr="005A1FA5">
        <w:rPr>
          <w:color w:val="70AD47" w:themeColor="accent6"/>
        </w:rPr>
        <w:t>Applicants, other than state applicants, that have procured a contractor(s) where the amount of the contract will be more than the micro-purchase threshold in 2 CFR § 200.320(a)(1) ($10,000 for most applicants) must demonstrate how the contractor (including consultants) was selected in compliance with the fair and open competition requirements in 2 CFR Part 200 and 2 CFR Part 1500.17 EPA provides guidance on complying with the competition requirements in the Best Practice Guide for Procuring Services, Supplies, and Equipment Under EPA Assistance Agreements18 and the Brownfields Grants: Guidance on Competitively Procuring a Contractor.19</w:t>
      </w:r>
    </w:p>
    <w:p w14:paraId="0D7F0651" w14:textId="77777777" w:rsidR="005A1FA5" w:rsidRPr="005A1FA5" w:rsidRDefault="005A1FA5" w:rsidP="005A1FA5">
      <w:pPr>
        <w:pStyle w:val="Default"/>
        <w:rPr>
          <w:color w:val="70AD47" w:themeColor="accent6"/>
        </w:rPr>
      </w:pPr>
      <w:r w:rsidRPr="005A1FA5">
        <w:rPr>
          <w:color w:val="70AD47" w:themeColor="accent6"/>
        </w:rPr>
        <w:t>For example:</w:t>
      </w:r>
    </w:p>
    <w:p w14:paraId="5D21F6D0" w14:textId="5BD18F06" w:rsidR="005A1FA5" w:rsidRPr="005A1FA5" w:rsidRDefault="005A1FA5" w:rsidP="005A1FA5">
      <w:pPr>
        <w:pStyle w:val="Default"/>
        <w:numPr>
          <w:ilvl w:val="0"/>
          <w:numId w:val="20"/>
        </w:numPr>
        <w:rPr>
          <w:color w:val="70AD47" w:themeColor="accent6"/>
        </w:rPr>
      </w:pPr>
      <w:r w:rsidRPr="005A1FA5">
        <w:rPr>
          <w:color w:val="70AD47" w:themeColor="accent6"/>
        </w:rPr>
        <w:t>EPA will not accept sole source justifications for procurement contracts for services such as environmental consulting, engineering, and remediation that are available in the commercial marketplace.</w:t>
      </w:r>
    </w:p>
    <w:p w14:paraId="7B067BE6" w14:textId="1168CBD3" w:rsidR="005A1FA5" w:rsidRPr="005A1FA5" w:rsidRDefault="005A1FA5" w:rsidP="005A1FA5">
      <w:pPr>
        <w:pStyle w:val="Default"/>
        <w:numPr>
          <w:ilvl w:val="0"/>
          <w:numId w:val="20"/>
        </w:numPr>
        <w:rPr>
          <w:color w:val="70AD47" w:themeColor="accent6"/>
        </w:rPr>
      </w:pPr>
      <w:r w:rsidRPr="005A1FA5">
        <w:rPr>
          <w:color w:val="70AD47" w:themeColor="accent6"/>
        </w:rPr>
        <w:t>Firms or individual consultants that develop or draft specifications, requirements, statements of work, or invitations for bids or requests for proposals must be excluded from competing for such procurements as provided in 2 CFR § 200.319(b).</w:t>
      </w:r>
    </w:p>
    <w:p w14:paraId="0E694929" w14:textId="2B14CBB2" w:rsidR="00E96C2A" w:rsidRDefault="005A1FA5" w:rsidP="005A1FA5">
      <w:pPr>
        <w:pStyle w:val="Default"/>
        <w:numPr>
          <w:ilvl w:val="0"/>
          <w:numId w:val="20"/>
        </w:numPr>
        <w:rPr>
          <w:color w:val="70AD47" w:themeColor="accent6"/>
        </w:rPr>
      </w:pPr>
      <w:r w:rsidRPr="005A1FA5">
        <w:rPr>
          <w:color w:val="70AD47" w:themeColor="accent6"/>
        </w:rPr>
        <w:t>Consistent with 2 CFR § 200.320(b)(2)(iii), for contracts over $250,000, price generally must be an evaluation factor in the review of proposals or quotes. As provided in 2 CFR 200.320(b)(2)(iv), “[q]</w:t>
      </w:r>
      <w:proofErr w:type="spellStart"/>
      <w:r w:rsidRPr="005A1FA5">
        <w:rPr>
          <w:color w:val="70AD47" w:themeColor="accent6"/>
        </w:rPr>
        <w:t>ualifications</w:t>
      </w:r>
      <w:proofErr w:type="spellEnd"/>
      <w:r w:rsidRPr="005A1FA5">
        <w:rPr>
          <w:color w:val="70AD47" w:themeColor="accent6"/>
        </w:rPr>
        <w:t xml:space="preserve">-based procurement,” where price is not a factor, may be used when acquiring services that can only be provided by a licensed Architectural and Engineering (A/E) </w:t>
      </w:r>
      <w:proofErr w:type="gramStart"/>
      <w:r w:rsidRPr="005A1FA5">
        <w:rPr>
          <w:color w:val="70AD47" w:themeColor="accent6"/>
        </w:rPr>
        <w:t>firm;</w:t>
      </w:r>
      <w:proofErr w:type="gramEnd"/>
      <w:r w:rsidRPr="005A1FA5">
        <w:rPr>
          <w:color w:val="70AD47" w:themeColor="accent6"/>
        </w:rPr>
        <w:t xml:space="preserve"> such as</w:t>
      </w:r>
      <w:r>
        <w:rPr>
          <w:color w:val="70AD47" w:themeColor="accent6"/>
        </w:rPr>
        <w:t xml:space="preserve"> </w:t>
      </w:r>
      <w:r w:rsidRPr="005A1FA5">
        <w:rPr>
          <w:color w:val="70AD47" w:themeColor="accent6"/>
        </w:rPr>
        <w:t xml:space="preserve">when state or local law requires that an A/E firm develop specifications for construction work that is part of a remediation project. When the remediation activities do not require the services of an A/E firm, price must be evaluated for those activities. Qualification-based procurement does not apply to assessment-related activities that occur under a Brownfields Multipurpose Grant. Although A/E firms are one potential source for a Qualified Environmental Professional (QEP) for site assessments as indicated in the definition of Environmental Professional in the </w:t>
      </w:r>
      <w:proofErr w:type="gramStart"/>
      <w:r w:rsidRPr="005A1FA5">
        <w:rPr>
          <w:color w:val="70AD47" w:themeColor="accent6"/>
        </w:rPr>
        <w:t>All Appropriate</w:t>
      </w:r>
      <w:proofErr w:type="gramEnd"/>
      <w:r w:rsidRPr="005A1FA5">
        <w:rPr>
          <w:color w:val="70AD47" w:themeColor="accent6"/>
        </w:rPr>
        <w:t xml:space="preserve"> Inquiry Rule, 40 CFR 312.10, other types of firms and individuals may also provide QEP services.</w:t>
      </w:r>
    </w:p>
    <w:p w14:paraId="3357F6CA" w14:textId="77777777" w:rsidR="005A1FA5" w:rsidRPr="00DD04D8" w:rsidRDefault="005A1FA5" w:rsidP="005A1FA5">
      <w:pPr>
        <w:pStyle w:val="Default"/>
        <w:rPr>
          <w:color w:val="70AD47" w:themeColor="accent6"/>
        </w:rPr>
      </w:pPr>
    </w:p>
    <w:p w14:paraId="6986DB63" w14:textId="77777777" w:rsidR="005A1FA5" w:rsidRPr="005A1FA5" w:rsidRDefault="005A1FA5" w:rsidP="005A1FA5">
      <w:pPr>
        <w:pStyle w:val="Default"/>
        <w:rPr>
          <w:color w:val="70AD47" w:themeColor="accent6"/>
        </w:rPr>
      </w:pPr>
      <w:r w:rsidRPr="005A1FA5">
        <w:rPr>
          <w:color w:val="70AD47" w:themeColor="accent6"/>
        </w:rPr>
        <w:t>Applicants must disclose whether they have already selected a contractor that will be compensated with EPA funds made available under this RFA. If a contractor(s) has been selected prior to submitting the application to EPA (including when a contractor(s) has been selected under a “dual procurement process” for both grant proposal writing and services necessary to help you carry out the grant), applicants must describe:</w:t>
      </w:r>
    </w:p>
    <w:p w14:paraId="759B659D" w14:textId="4199236C" w:rsidR="005A1FA5" w:rsidRPr="005A1FA5" w:rsidRDefault="005A1FA5" w:rsidP="005A1FA5">
      <w:pPr>
        <w:pStyle w:val="Default"/>
        <w:numPr>
          <w:ilvl w:val="0"/>
          <w:numId w:val="29"/>
        </w:numPr>
        <w:rPr>
          <w:color w:val="70AD47" w:themeColor="accent6"/>
        </w:rPr>
      </w:pPr>
      <w:r w:rsidRPr="005A1FA5">
        <w:rPr>
          <w:color w:val="70AD47" w:themeColor="accent6"/>
        </w:rPr>
        <w:t xml:space="preserve"> procedures that were followed to hire the contractor(s) and include information on where and when the Request for Proposals/Request for Qualifications was </w:t>
      </w:r>
      <w:proofErr w:type="gramStart"/>
      <w:r w:rsidRPr="005A1FA5">
        <w:rPr>
          <w:color w:val="70AD47" w:themeColor="accent6"/>
        </w:rPr>
        <w:t>posted;</w:t>
      </w:r>
      <w:proofErr w:type="gramEnd"/>
    </w:p>
    <w:p w14:paraId="65963384" w14:textId="5E444CB6" w:rsidR="005A1FA5" w:rsidRPr="005A1FA5" w:rsidRDefault="005A1FA5" w:rsidP="005A1FA5">
      <w:pPr>
        <w:pStyle w:val="Default"/>
        <w:numPr>
          <w:ilvl w:val="0"/>
          <w:numId w:val="29"/>
        </w:numPr>
        <w:rPr>
          <w:color w:val="70AD47" w:themeColor="accent6"/>
        </w:rPr>
      </w:pPr>
      <w:r w:rsidRPr="005A1FA5">
        <w:rPr>
          <w:color w:val="70AD47" w:themeColor="accent6"/>
        </w:rPr>
        <w:t xml:space="preserve">the length of time the RFP/RFQ was </w:t>
      </w:r>
      <w:proofErr w:type="gramStart"/>
      <w:r w:rsidRPr="005A1FA5">
        <w:rPr>
          <w:color w:val="70AD47" w:themeColor="accent6"/>
        </w:rPr>
        <w:t>advertised;</w:t>
      </w:r>
      <w:proofErr w:type="gramEnd"/>
    </w:p>
    <w:p w14:paraId="4E4335FB" w14:textId="7D3FBC54" w:rsidR="005A1FA5" w:rsidRPr="005A1FA5" w:rsidRDefault="005A1FA5" w:rsidP="005A1FA5">
      <w:pPr>
        <w:pStyle w:val="Default"/>
        <w:numPr>
          <w:ilvl w:val="0"/>
          <w:numId w:val="29"/>
        </w:numPr>
        <w:rPr>
          <w:color w:val="70AD47" w:themeColor="accent6"/>
        </w:rPr>
      </w:pPr>
      <w:r w:rsidRPr="005A1FA5">
        <w:rPr>
          <w:color w:val="70AD47" w:themeColor="accent6"/>
        </w:rPr>
        <w:t>the number of firms solicited and the number of offers received and considered; and</w:t>
      </w:r>
    </w:p>
    <w:p w14:paraId="037AAEA9" w14:textId="1128D708" w:rsidR="005A1FA5" w:rsidRPr="005A1FA5" w:rsidRDefault="005A1FA5" w:rsidP="005A1FA5">
      <w:pPr>
        <w:pStyle w:val="Default"/>
        <w:numPr>
          <w:ilvl w:val="0"/>
          <w:numId w:val="29"/>
        </w:numPr>
        <w:rPr>
          <w:color w:val="70AD47" w:themeColor="accent6"/>
        </w:rPr>
      </w:pPr>
      <w:r w:rsidRPr="005A1FA5">
        <w:rPr>
          <w:color w:val="70AD47" w:themeColor="accent6"/>
        </w:rPr>
        <w:lastRenderedPageBreak/>
        <w:t xml:space="preserve">the name(s) of the firm(s) the applicant </w:t>
      </w:r>
      <w:proofErr w:type="gramStart"/>
      <w:r w:rsidRPr="005A1FA5">
        <w:rPr>
          <w:color w:val="70AD47" w:themeColor="accent6"/>
        </w:rPr>
        <w:t>entered into</w:t>
      </w:r>
      <w:proofErr w:type="gramEnd"/>
      <w:r w:rsidRPr="005A1FA5">
        <w:rPr>
          <w:color w:val="70AD47" w:themeColor="accent6"/>
        </w:rPr>
        <w:t xml:space="preserve"> contract with.</w:t>
      </w:r>
    </w:p>
    <w:p w14:paraId="53A7DA66" w14:textId="77777777" w:rsidR="005A1FA5" w:rsidRDefault="005A1FA5" w:rsidP="005A1FA5">
      <w:pPr>
        <w:pStyle w:val="Default"/>
        <w:rPr>
          <w:color w:val="70AD47" w:themeColor="accent6"/>
        </w:rPr>
      </w:pPr>
    </w:p>
    <w:p w14:paraId="148B4005" w14:textId="3F8B0767" w:rsidR="005A1FA5" w:rsidRPr="005A1FA5" w:rsidRDefault="005A1FA5" w:rsidP="005A1FA5">
      <w:pPr>
        <w:pStyle w:val="Default"/>
        <w:rPr>
          <w:color w:val="70AD47" w:themeColor="accent6"/>
        </w:rPr>
      </w:pPr>
      <w:r w:rsidRPr="005A1FA5">
        <w:rPr>
          <w:color w:val="70AD47" w:themeColor="accent6"/>
        </w:rPr>
        <w:t>Note, regardless of whether the solicitation is issued as a Request for Proposals or a Request for Qualifications, price reasonableness for the grant implementation work must be a selection factor in the evaluation of proposals or quotes. See the Brownfields Grants: Guidance on Competitively Procuring a Contractor for additional guidance.</w:t>
      </w:r>
    </w:p>
    <w:p w14:paraId="661AD9BA" w14:textId="77777777" w:rsidR="005A1FA5" w:rsidRDefault="005A1FA5" w:rsidP="005A1FA5">
      <w:pPr>
        <w:pStyle w:val="Default"/>
        <w:rPr>
          <w:color w:val="70AD47" w:themeColor="accent6"/>
        </w:rPr>
      </w:pPr>
    </w:p>
    <w:p w14:paraId="5DF39948" w14:textId="69726F0B" w:rsidR="00E96C2A" w:rsidRDefault="005A1FA5" w:rsidP="005A1FA5">
      <w:pPr>
        <w:pStyle w:val="Default"/>
        <w:rPr>
          <w:color w:val="70AD47" w:themeColor="accent6"/>
        </w:rPr>
      </w:pPr>
      <w:r w:rsidRPr="005A1FA5">
        <w:rPr>
          <w:color w:val="70AD47" w:themeColor="accent6"/>
        </w:rPr>
        <w:t>Provide a copy of (or link to) the solicitation documents and the signed executed contract.</w:t>
      </w:r>
    </w:p>
    <w:p w14:paraId="6B8422D6" w14:textId="77777777" w:rsidR="005A1FA5" w:rsidRDefault="005A1FA5" w:rsidP="005A1FA5">
      <w:pPr>
        <w:pStyle w:val="Default"/>
        <w:rPr>
          <w:color w:val="70AD47" w:themeColor="accent6"/>
        </w:rPr>
      </w:pPr>
    </w:p>
    <w:p w14:paraId="0E6BD4E0" w14:textId="77777777" w:rsidR="005A1FA5" w:rsidRPr="005A1FA5" w:rsidRDefault="005A1FA5" w:rsidP="005A1FA5">
      <w:pPr>
        <w:pStyle w:val="Default"/>
        <w:rPr>
          <w:color w:val="70AD47" w:themeColor="accent6"/>
        </w:rPr>
      </w:pPr>
      <w:r w:rsidRPr="005A1FA5">
        <w:rPr>
          <w:color w:val="70AD47" w:themeColor="accent6"/>
        </w:rPr>
        <w:t>Alternatively, state ‘n/a’ or ‘not applicable’ if a contractor has not been procured.</w:t>
      </w:r>
    </w:p>
    <w:p w14:paraId="224A16CB" w14:textId="77777777" w:rsidR="005A1FA5" w:rsidRDefault="005A1FA5" w:rsidP="005A1FA5">
      <w:pPr>
        <w:pStyle w:val="Default"/>
        <w:rPr>
          <w:color w:val="70AD47" w:themeColor="accent6"/>
        </w:rPr>
      </w:pPr>
    </w:p>
    <w:p w14:paraId="59D26014" w14:textId="41A2EC25" w:rsidR="005A1FA5" w:rsidRPr="005A1FA5" w:rsidRDefault="005A1FA5" w:rsidP="005A1FA5">
      <w:pPr>
        <w:pStyle w:val="Default"/>
        <w:rPr>
          <w:color w:val="70AD47" w:themeColor="accent6"/>
        </w:rPr>
      </w:pPr>
      <w:r w:rsidRPr="005A1FA5">
        <w:rPr>
          <w:color w:val="70AD47" w:themeColor="accent6"/>
        </w:rPr>
        <w:t>Successful applicants that procure a contractor(s) after being advised by EPA of selection, but prior to award, must describe how they complied with the procurement procedures described above when submitting the final workplan for the award.</w:t>
      </w:r>
    </w:p>
    <w:p w14:paraId="6AD0EDB6" w14:textId="77777777" w:rsidR="005A1FA5" w:rsidRDefault="005A1FA5" w:rsidP="005A1FA5">
      <w:pPr>
        <w:pStyle w:val="Default"/>
        <w:rPr>
          <w:color w:val="70AD47" w:themeColor="accent6"/>
        </w:rPr>
      </w:pPr>
    </w:p>
    <w:p w14:paraId="7E9BEF5A" w14:textId="0F592AF0" w:rsidR="005A1FA5" w:rsidRPr="00DD04D8" w:rsidRDefault="005A1FA5" w:rsidP="005A1FA5">
      <w:pPr>
        <w:pStyle w:val="Default"/>
        <w:rPr>
          <w:color w:val="70AD47" w:themeColor="accent6"/>
        </w:rPr>
      </w:pPr>
      <w:r w:rsidRPr="005A1FA5">
        <w:rPr>
          <w:color w:val="70AD47" w:themeColor="accent6"/>
        </w:rPr>
        <w:t>Recipients of EPA funding who select a contractor(s) after award must fully comply with the procurement standards at 2 CFR Part 200, 2 CFR Part 1500, and 40 CFR Part 33.</w:t>
      </w:r>
    </w:p>
    <w:p w14:paraId="25B8520F" w14:textId="77777777" w:rsidR="00E96C2A" w:rsidRPr="00E96C2A" w:rsidRDefault="00E96C2A" w:rsidP="00E96C2A">
      <w:pPr>
        <w:pStyle w:val="Default"/>
        <w:rPr>
          <w:color w:val="auto"/>
        </w:rPr>
      </w:pPr>
    </w:p>
    <w:p w14:paraId="654C5551" w14:textId="4272732D" w:rsidR="00E96C2A" w:rsidRPr="00E96C2A" w:rsidRDefault="00E96C2A" w:rsidP="00E96C2A">
      <w:pPr>
        <w:pStyle w:val="Default"/>
        <w:numPr>
          <w:ilvl w:val="0"/>
          <w:numId w:val="20"/>
        </w:numPr>
        <w:rPr>
          <w:color w:val="auto"/>
        </w:rPr>
      </w:pPr>
      <w:r w:rsidRPr="00E96C2A">
        <w:rPr>
          <w:b/>
          <w:bCs/>
          <w:color w:val="auto"/>
        </w:rPr>
        <w:t xml:space="preserve">Named Subrecipients. </w:t>
      </w:r>
    </w:p>
    <w:p w14:paraId="3C71EF6D" w14:textId="77777777" w:rsidR="00E96C2A" w:rsidRPr="00E96C2A" w:rsidRDefault="00E96C2A" w:rsidP="00E96C2A">
      <w:pPr>
        <w:pStyle w:val="Default"/>
        <w:rPr>
          <w:color w:val="92D050"/>
        </w:rPr>
      </w:pPr>
    </w:p>
    <w:p w14:paraId="1463CD8E" w14:textId="77777777" w:rsidR="005A1FA5" w:rsidRPr="005A1FA5" w:rsidRDefault="005A1FA5" w:rsidP="005A1FA5">
      <w:pPr>
        <w:pStyle w:val="Default"/>
        <w:rPr>
          <w:color w:val="70AD47" w:themeColor="accent6"/>
        </w:rPr>
      </w:pPr>
      <w:r w:rsidRPr="005A1FA5">
        <w:rPr>
          <w:color w:val="70AD47" w:themeColor="accent6"/>
        </w:rPr>
        <w:t>EPA does not require or encourage applicants to name a specific subrecipient(s) in the application for Brownfields Grant funding. However, if an applicant chooses to identify a specific subrecipient(s) to conduct work proposed in this application, the applicant must comply with the following requirements even if the entity is referred to as a “partner” in the application.</w:t>
      </w:r>
    </w:p>
    <w:p w14:paraId="53D1860B" w14:textId="77777777" w:rsidR="005A1FA5" w:rsidRDefault="005A1FA5" w:rsidP="005A1FA5">
      <w:pPr>
        <w:pStyle w:val="Default"/>
        <w:rPr>
          <w:color w:val="70AD47" w:themeColor="accent6"/>
        </w:rPr>
      </w:pPr>
      <w:r w:rsidRPr="005A1FA5">
        <w:rPr>
          <w:color w:val="70AD47" w:themeColor="accent6"/>
        </w:rPr>
        <w:t>Successful applicants that do not name a specific subrecipient(s) in their application but identify a subrecipient(s) after being advised of selection, must also comply with the requirements described below.</w:t>
      </w:r>
    </w:p>
    <w:p w14:paraId="1A3EE15E" w14:textId="77777777" w:rsidR="005A1FA5" w:rsidRPr="005A1FA5" w:rsidRDefault="005A1FA5" w:rsidP="005A1FA5">
      <w:pPr>
        <w:pStyle w:val="Default"/>
        <w:rPr>
          <w:color w:val="70AD47" w:themeColor="accent6"/>
        </w:rPr>
      </w:pPr>
    </w:p>
    <w:p w14:paraId="28103C73" w14:textId="77777777" w:rsidR="005A1FA5" w:rsidRDefault="005A1FA5" w:rsidP="005A1FA5">
      <w:pPr>
        <w:pStyle w:val="Default"/>
        <w:rPr>
          <w:color w:val="70AD47" w:themeColor="accent6"/>
        </w:rPr>
      </w:pPr>
      <w:r w:rsidRPr="005A1FA5">
        <w:rPr>
          <w:color w:val="70AD47" w:themeColor="accent6"/>
        </w:rPr>
        <w:t>All applicants, including states, that name a specific subrecipient in this application must demonstrate that the subrecipient is eligible for a subaward in compliance with Appendix A20 of EPA’s Subaward Policy for EPA Assistance Agreement Recipients.21 This policy provides, among other things, that transactions between recipients and for-profit firms and individual consultants are procurement contracts rather than subawards when the transaction involves the acquisition of services from the firm or individual.</w:t>
      </w:r>
    </w:p>
    <w:p w14:paraId="53A1C043" w14:textId="77777777" w:rsidR="005A1FA5" w:rsidRPr="005A1FA5" w:rsidRDefault="005A1FA5" w:rsidP="005A1FA5">
      <w:pPr>
        <w:pStyle w:val="Default"/>
        <w:rPr>
          <w:color w:val="70AD47" w:themeColor="accent6"/>
        </w:rPr>
      </w:pPr>
    </w:p>
    <w:p w14:paraId="11EBC333" w14:textId="77777777" w:rsidR="005A1FA5" w:rsidRDefault="005A1FA5" w:rsidP="005A1FA5">
      <w:pPr>
        <w:pStyle w:val="Default"/>
        <w:rPr>
          <w:color w:val="70AD47" w:themeColor="accent6"/>
        </w:rPr>
      </w:pPr>
      <w:r w:rsidRPr="005A1FA5">
        <w:rPr>
          <w:color w:val="70AD47" w:themeColor="accent6"/>
        </w:rPr>
        <w:t>Refer to EPA's Contracts and Subawards Solicitation Clause22 for additional guidance on these requirements which must be met for all contractors (except for micro-purchases as described above) and/or subrecipients specifically named in the application.</w:t>
      </w:r>
    </w:p>
    <w:p w14:paraId="2F0D3297" w14:textId="77777777" w:rsidR="005A1FA5" w:rsidRPr="005A1FA5" w:rsidRDefault="005A1FA5" w:rsidP="005A1FA5">
      <w:pPr>
        <w:pStyle w:val="Default"/>
        <w:rPr>
          <w:color w:val="70AD47" w:themeColor="accent6"/>
        </w:rPr>
      </w:pPr>
    </w:p>
    <w:p w14:paraId="31F0B2C4" w14:textId="1CAC3094" w:rsidR="00E96C2A" w:rsidRDefault="005A1FA5" w:rsidP="005A1FA5">
      <w:pPr>
        <w:pStyle w:val="Default"/>
        <w:rPr>
          <w:color w:val="70AD47" w:themeColor="accent6"/>
        </w:rPr>
      </w:pPr>
      <w:r w:rsidRPr="005A1FA5">
        <w:rPr>
          <w:color w:val="70AD47" w:themeColor="accent6"/>
        </w:rPr>
        <w:t>Describe how the named subrecipient is eligible for a subaward (e.g., is a nonprofit organization or unit of government). Alternatively, state ‘n/a’ or ‘not applicable’ if a subrecipient is not named.</w:t>
      </w:r>
    </w:p>
    <w:p w14:paraId="33FAC58D" w14:textId="77777777" w:rsidR="005A1FA5" w:rsidRDefault="005A1FA5" w:rsidP="005A1FA5">
      <w:pPr>
        <w:pStyle w:val="Default"/>
        <w:rPr>
          <w:color w:val="70AD47" w:themeColor="accent6"/>
        </w:rPr>
      </w:pPr>
    </w:p>
    <w:p w14:paraId="6D4772C7" w14:textId="6F05A6EA" w:rsidR="005A1FA5" w:rsidRPr="005A1FA5" w:rsidRDefault="005A1FA5" w:rsidP="005A1FA5">
      <w:pPr>
        <w:pStyle w:val="Default"/>
        <w:rPr>
          <w:color w:val="70AD47" w:themeColor="accent6"/>
        </w:rPr>
      </w:pPr>
      <w:r w:rsidRPr="005A1FA5">
        <w:rPr>
          <w:b/>
          <w:bCs/>
          <w:color w:val="70AD47" w:themeColor="accent6"/>
          <w:sz w:val="23"/>
          <w:szCs w:val="23"/>
          <w:u w:val="single"/>
        </w:rPr>
        <w:t xml:space="preserve">Failure to provide the requested information will result in rejection of the application. </w:t>
      </w:r>
      <w:r w:rsidRPr="005A1FA5">
        <w:rPr>
          <w:color w:val="70AD47" w:themeColor="accent6"/>
          <w:sz w:val="23"/>
          <w:szCs w:val="23"/>
        </w:rPr>
        <w:t xml:space="preserve">EPA staff may contact the applicant to clarify issues or obtain additional information before making a final eligibility determination. If EPA determines that the process you completed to select a contractor was not compliant with the federal regulations in 2 CFR Part 200 and 2 CFR Part 1500 and your </w:t>
      </w:r>
      <w:r w:rsidRPr="005A1FA5">
        <w:rPr>
          <w:color w:val="70AD47" w:themeColor="accent6"/>
          <w:sz w:val="23"/>
          <w:szCs w:val="23"/>
        </w:rPr>
        <w:lastRenderedPageBreak/>
        <w:t>application is selected for funding, you will need to prepare and issue a new RFP/RFQ that is compliant with federal procurement regulations. Additionally, EPA may review the new RFP/RFQ and selection process to ensure compliance with fair and open competition requirements. Please see Section D. in the FY24 FAQs for additional guidance.</w:t>
      </w:r>
    </w:p>
    <w:sectPr w:rsidR="005A1FA5" w:rsidRPr="005A1F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45895"/>
    <w:multiLevelType w:val="hybridMultilevel"/>
    <w:tmpl w:val="4F48E1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 w15:restartNumberingAfterBreak="0">
    <w:nsid w:val="082C341F"/>
    <w:multiLevelType w:val="hybridMultilevel"/>
    <w:tmpl w:val="EAE4B470"/>
    <w:lvl w:ilvl="0" w:tplc="5D2A72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D19A9"/>
    <w:multiLevelType w:val="hybridMultilevel"/>
    <w:tmpl w:val="2D64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25712"/>
    <w:multiLevelType w:val="hybridMultilevel"/>
    <w:tmpl w:val="AEE4E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A5EC4"/>
    <w:multiLevelType w:val="hybridMultilevel"/>
    <w:tmpl w:val="96A2414A"/>
    <w:lvl w:ilvl="0" w:tplc="5D2A72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01F5B"/>
    <w:multiLevelType w:val="hybridMultilevel"/>
    <w:tmpl w:val="A5F8BD30"/>
    <w:lvl w:ilvl="0" w:tplc="75024E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907277"/>
    <w:multiLevelType w:val="hybridMultilevel"/>
    <w:tmpl w:val="1A9C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67909"/>
    <w:multiLevelType w:val="hybridMultilevel"/>
    <w:tmpl w:val="2B48B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F0327"/>
    <w:multiLevelType w:val="hybridMultilevel"/>
    <w:tmpl w:val="E16C66C2"/>
    <w:lvl w:ilvl="0" w:tplc="3CE8EB0E">
      <w:start w:val="1"/>
      <w:numFmt w:val="decimal"/>
      <w:lvlText w:val="%1."/>
      <w:lvlJc w:val="left"/>
      <w:pPr>
        <w:ind w:left="720" w:hanging="360"/>
      </w:pPr>
      <w:rPr>
        <w:rFonts w:hint="default"/>
        <w:b/>
      </w:rPr>
    </w:lvl>
    <w:lvl w:ilvl="1" w:tplc="9802F448">
      <w:numFmt w:val="bullet"/>
      <w:lvlText w:val="-"/>
      <w:lvlJc w:val="left"/>
      <w:pPr>
        <w:ind w:left="1440" w:hanging="360"/>
      </w:pPr>
      <w:rPr>
        <w:rFonts w:ascii="Times New Roman" w:eastAsiaTheme="minorHAnsi" w:hAnsi="Times New Roman" w:cs="Times New Roman"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91A6F"/>
    <w:multiLevelType w:val="hybridMultilevel"/>
    <w:tmpl w:val="9044F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D3512"/>
    <w:multiLevelType w:val="hybridMultilevel"/>
    <w:tmpl w:val="77824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031662"/>
    <w:multiLevelType w:val="hybridMultilevel"/>
    <w:tmpl w:val="AAE8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913355"/>
    <w:multiLevelType w:val="hybridMultilevel"/>
    <w:tmpl w:val="4B26852E"/>
    <w:lvl w:ilvl="0" w:tplc="04090001">
      <w:start w:val="1"/>
      <w:numFmt w:val="bullet"/>
      <w:lvlText w:val=""/>
      <w:lvlJc w:val="left"/>
      <w:pPr>
        <w:ind w:left="720" w:hanging="360"/>
      </w:pPr>
      <w:rPr>
        <w:rFonts w:ascii="Symbol" w:hAnsi="Symbol" w:hint="default"/>
      </w:rPr>
    </w:lvl>
    <w:lvl w:ilvl="1" w:tplc="B2AA97E2">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715A1B"/>
    <w:multiLevelType w:val="hybridMultilevel"/>
    <w:tmpl w:val="26561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E4C0C"/>
    <w:multiLevelType w:val="hybridMultilevel"/>
    <w:tmpl w:val="5E52C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135E4D"/>
    <w:multiLevelType w:val="hybridMultilevel"/>
    <w:tmpl w:val="EC74AC2C"/>
    <w:lvl w:ilvl="0" w:tplc="5D2A72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D22B0"/>
    <w:multiLevelType w:val="hybridMultilevel"/>
    <w:tmpl w:val="D85E1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2A02E0"/>
    <w:multiLevelType w:val="hybridMultilevel"/>
    <w:tmpl w:val="F5763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A327AF"/>
    <w:multiLevelType w:val="hybridMultilevel"/>
    <w:tmpl w:val="3CCAA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F635AD"/>
    <w:multiLevelType w:val="hybridMultilevel"/>
    <w:tmpl w:val="28080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894003"/>
    <w:multiLevelType w:val="hybridMultilevel"/>
    <w:tmpl w:val="02B646DE"/>
    <w:lvl w:ilvl="0" w:tplc="5D2A72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30CDF"/>
    <w:multiLevelType w:val="hybridMultilevel"/>
    <w:tmpl w:val="EED296D8"/>
    <w:lvl w:ilvl="0" w:tplc="04090001">
      <w:start w:val="1"/>
      <w:numFmt w:val="bullet"/>
      <w:lvlText w:val=""/>
      <w:lvlJc w:val="left"/>
      <w:pPr>
        <w:ind w:left="720" w:hanging="360"/>
      </w:pPr>
      <w:rPr>
        <w:rFonts w:ascii="Symbol" w:hAnsi="Symbol" w:hint="default"/>
      </w:rPr>
    </w:lvl>
    <w:lvl w:ilvl="1" w:tplc="52E0AB30">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732921"/>
    <w:multiLevelType w:val="hybridMultilevel"/>
    <w:tmpl w:val="70A2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BF7AD4"/>
    <w:multiLevelType w:val="hybridMultilevel"/>
    <w:tmpl w:val="EF22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21D3C"/>
    <w:multiLevelType w:val="hybridMultilevel"/>
    <w:tmpl w:val="65D89E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B0664D2"/>
    <w:multiLevelType w:val="hybridMultilevel"/>
    <w:tmpl w:val="5524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A77624"/>
    <w:multiLevelType w:val="hybridMultilevel"/>
    <w:tmpl w:val="48AAE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39356A"/>
    <w:multiLevelType w:val="hybridMultilevel"/>
    <w:tmpl w:val="B0C04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E570A9"/>
    <w:multiLevelType w:val="hybridMultilevel"/>
    <w:tmpl w:val="46DA7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3647484">
    <w:abstractNumId w:val="8"/>
  </w:num>
  <w:num w:numId="2" w16cid:durableId="1593851374">
    <w:abstractNumId w:val="17"/>
  </w:num>
  <w:num w:numId="3" w16cid:durableId="1319267955">
    <w:abstractNumId w:val="12"/>
  </w:num>
  <w:num w:numId="4" w16cid:durableId="1870220239">
    <w:abstractNumId w:val="21"/>
  </w:num>
  <w:num w:numId="5" w16cid:durableId="1118110309">
    <w:abstractNumId w:val="0"/>
  </w:num>
  <w:num w:numId="6" w16cid:durableId="603881065">
    <w:abstractNumId w:val="27"/>
  </w:num>
  <w:num w:numId="7" w16cid:durableId="1403336709">
    <w:abstractNumId w:val="23"/>
  </w:num>
  <w:num w:numId="8" w16cid:durableId="2017342521">
    <w:abstractNumId w:val="5"/>
  </w:num>
  <w:num w:numId="9" w16cid:durableId="940995991">
    <w:abstractNumId w:val="2"/>
  </w:num>
  <w:num w:numId="10" w16cid:durableId="1203786322">
    <w:abstractNumId w:val="11"/>
  </w:num>
  <w:num w:numId="11" w16cid:durableId="342785020">
    <w:abstractNumId w:val="16"/>
  </w:num>
  <w:num w:numId="12" w16cid:durableId="78405760">
    <w:abstractNumId w:val="6"/>
  </w:num>
  <w:num w:numId="13" w16cid:durableId="272056382">
    <w:abstractNumId w:val="13"/>
  </w:num>
  <w:num w:numId="14" w16cid:durableId="1986205379">
    <w:abstractNumId w:val="9"/>
  </w:num>
  <w:num w:numId="15" w16cid:durableId="2023705398">
    <w:abstractNumId w:val="3"/>
  </w:num>
  <w:num w:numId="16" w16cid:durableId="921182676">
    <w:abstractNumId w:val="7"/>
  </w:num>
  <w:num w:numId="17" w16cid:durableId="1313482462">
    <w:abstractNumId w:val="14"/>
  </w:num>
  <w:num w:numId="18" w16cid:durableId="1946114345">
    <w:abstractNumId w:val="19"/>
  </w:num>
  <w:num w:numId="19" w16cid:durableId="831986211">
    <w:abstractNumId w:val="22"/>
  </w:num>
  <w:num w:numId="20" w16cid:durableId="2019961247">
    <w:abstractNumId w:val="28"/>
  </w:num>
  <w:num w:numId="21" w16cid:durableId="687948257">
    <w:abstractNumId w:val="10"/>
  </w:num>
  <w:num w:numId="22" w16cid:durableId="943535417">
    <w:abstractNumId w:val="26"/>
  </w:num>
  <w:num w:numId="23" w16cid:durableId="792598935">
    <w:abstractNumId w:val="25"/>
  </w:num>
  <w:num w:numId="24" w16cid:durableId="572930622">
    <w:abstractNumId w:val="1"/>
  </w:num>
  <w:num w:numId="25" w16cid:durableId="1374766266">
    <w:abstractNumId w:val="15"/>
  </w:num>
  <w:num w:numId="26" w16cid:durableId="2035232366">
    <w:abstractNumId w:val="20"/>
  </w:num>
  <w:num w:numId="27" w16cid:durableId="1968124250">
    <w:abstractNumId w:val="4"/>
  </w:num>
  <w:num w:numId="28" w16cid:durableId="789662136">
    <w:abstractNumId w:val="18"/>
  </w:num>
  <w:num w:numId="29" w16cid:durableId="181733450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A79"/>
    <w:rsid w:val="00067E2C"/>
    <w:rsid w:val="001C2393"/>
    <w:rsid w:val="00203513"/>
    <w:rsid w:val="00262AEA"/>
    <w:rsid w:val="00343C0E"/>
    <w:rsid w:val="00367DBB"/>
    <w:rsid w:val="003E51F4"/>
    <w:rsid w:val="003F4BC4"/>
    <w:rsid w:val="004146D3"/>
    <w:rsid w:val="0048197F"/>
    <w:rsid w:val="004C04DA"/>
    <w:rsid w:val="00595916"/>
    <w:rsid w:val="005A1FA5"/>
    <w:rsid w:val="005E5413"/>
    <w:rsid w:val="00686585"/>
    <w:rsid w:val="006E00D8"/>
    <w:rsid w:val="00702461"/>
    <w:rsid w:val="007F2A79"/>
    <w:rsid w:val="00815275"/>
    <w:rsid w:val="00817AA2"/>
    <w:rsid w:val="00876449"/>
    <w:rsid w:val="00925EF2"/>
    <w:rsid w:val="00AE3168"/>
    <w:rsid w:val="00B15FAD"/>
    <w:rsid w:val="00B73CDF"/>
    <w:rsid w:val="00C26F2C"/>
    <w:rsid w:val="00DD04D8"/>
    <w:rsid w:val="00E6514F"/>
    <w:rsid w:val="00E96C2A"/>
    <w:rsid w:val="00EB0C76"/>
    <w:rsid w:val="00F353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695AE"/>
  <w15:chartTrackingRefBased/>
  <w15:docId w15:val="{EAAAFD5E-816B-4F63-814A-01B9F4DDE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73CD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728d4ed02b3a9ee4b050ff12369d5826">
  <xsd:schema xmlns:xsd="http://www.w3.org/2001/XMLSchema" xmlns:xs="http://www.w3.org/2001/XMLSchema" xmlns:p="http://schemas.microsoft.com/office/2006/metadata/properties" xmlns:ns2="e69cb1d3-456d-4603-a886-b9658bf95baa" targetNamespace="http://schemas.microsoft.com/office/2006/metadata/properties" ma:root="true" ma:fieldsID="39a6095bf748523fd948fefdcd43b44c"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65B982-1065-48C9-BBE4-1FC4AB45CF09}">
  <ds:schemaRefs>
    <ds:schemaRef ds:uri="http://schemas.openxmlformats.org/officeDocument/2006/bibliography"/>
  </ds:schemaRefs>
</ds:datastoreItem>
</file>

<file path=customXml/itemProps2.xml><?xml version="1.0" encoding="utf-8"?>
<ds:datastoreItem xmlns:ds="http://schemas.openxmlformats.org/officeDocument/2006/customXml" ds:itemID="{6332D0A8-8C83-4400-9573-B0981E7B2BA3}"/>
</file>

<file path=customXml/itemProps3.xml><?xml version="1.0" encoding="utf-8"?>
<ds:datastoreItem xmlns:ds="http://schemas.openxmlformats.org/officeDocument/2006/customXml" ds:itemID="{A1919203-7DCA-47E5-8DD1-4682314216E3}"/>
</file>

<file path=customXml/itemProps4.xml><?xml version="1.0" encoding="utf-8"?>
<ds:datastoreItem xmlns:ds="http://schemas.openxmlformats.org/officeDocument/2006/customXml" ds:itemID="{9DDE6662-23FC-4CD7-8235-62C9E59638B1}"/>
</file>

<file path=docProps/app.xml><?xml version="1.0" encoding="utf-8"?>
<Properties xmlns="http://schemas.openxmlformats.org/officeDocument/2006/extended-properties" xmlns:vt="http://schemas.openxmlformats.org/officeDocument/2006/docPropsVTypes">
  <Template>Normal</Template>
  <TotalTime>0</TotalTime>
  <Pages>5</Pages>
  <Words>1814</Words>
  <Characters>10340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UConn TAB</dc:creator>
  <cp:keywords/>
  <dc:description/>
  <cp:lastModifiedBy>Randi Mendes</cp:lastModifiedBy>
  <cp:revision>2</cp:revision>
  <dcterms:created xsi:type="dcterms:W3CDTF">2023-10-06T15:53:00Z</dcterms:created>
  <dcterms:modified xsi:type="dcterms:W3CDTF">2023-10-06T15:53:00Z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ies>
</file>